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A45C0" w:rsidRPr="002A45C0" w:rsidTr="002A45C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C0" w:rsidRPr="002A45C0" w:rsidRDefault="002A45C0" w:rsidP="002A45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 NỘI VỤ</w:t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C0" w:rsidRPr="002A45C0" w:rsidRDefault="002A45C0" w:rsidP="002A45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2A45C0" w:rsidRPr="002A45C0" w:rsidTr="002A45C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C0" w:rsidRPr="002A45C0" w:rsidRDefault="002A45C0" w:rsidP="002A45C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5C0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sz w:val="24"/>
                <w:szCs w:val="24"/>
              </w:rPr>
              <w:t>: 03/2020/TT-BNV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C0" w:rsidRPr="002A45C0" w:rsidRDefault="002A45C0" w:rsidP="002A45C0">
            <w:pPr>
              <w:spacing w:after="120" w:line="234" w:lineRule="atLeast"/>
              <w:ind w:left="720" w:hanging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21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07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2020</w:t>
            </w:r>
          </w:p>
        </w:tc>
      </w:tr>
    </w:tbl>
    <w:p w:rsidR="002A45C0" w:rsidRPr="002A45C0" w:rsidRDefault="002A45C0" w:rsidP="002A45C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2A45C0" w:rsidRPr="002A45C0" w:rsidRDefault="002A45C0" w:rsidP="002A45C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2A45C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TƯ</w:t>
      </w:r>
      <w:bookmarkEnd w:id="0"/>
    </w:p>
    <w:p w:rsidR="002A45C0" w:rsidRPr="002A45C0" w:rsidRDefault="002A45C0" w:rsidP="002A45C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2A45C0">
        <w:rPr>
          <w:rFonts w:ascii="Arial" w:eastAsia="Times New Roman" w:hAnsi="Arial" w:cs="Arial"/>
          <w:color w:val="000000"/>
          <w:sz w:val="18"/>
          <w:szCs w:val="18"/>
        </w:rPr>
        <w:t>QUY ĐỊNH CHI TIẾT VỀ THẨM QUYỀN, TRÌNH TỰ, THỦ TỤC, BIỆN PHÁP BẢO VỆ VỊ TRÍ CÔNG TÁC CỦA NGƯỜI TỐ CÁO LÀ CÁN BỘ, CÔNG CHỨC, VIÊN CHỨC</w:t>
      </w:r>
      <w:bookmarkEnd w:id="1"/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2018;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31/2019/NĐ-CP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10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2019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chi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tiết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34/2017/NĐ-CP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03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4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2017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cấu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Theo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-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ban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chi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tiết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trình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thủ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tục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1"/>
      <w:proofErr w:type="spellStart"/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chỉnh</w:t>
      </w:r>
      <w:bookmarkEnd w:id="2"/>
      <w:proofErr w:type="spellEnd"/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dieu_2"/>
      <w:proofErr w:type="spellStart"/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tượng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bookmarkEnd w:id="3"/>
      <w:proofErr w:type="spellEnd"/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proofErr w:type="gram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dieu_3"/>
      <w:proofErr w:type="spellStart"/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Nội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dung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bookmarkEnd w:id="4"/>
      <w:proofErr w:type="spellEnd"/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dieu_4"/>
      <w:proofErr w:type="spellStart"/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4.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dụng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bookmarkEnd w:id="5"/>
      <w:proofErr w:type="spellEnd"/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proofErr w:type="gram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ban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dieu_5"/>
      <w:proofErr w:type="spellStart"/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5.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Trình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thủ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tục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bookmarkEnd w:id="6"/>
      <w:proofErr w:type="spellEnd"/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tục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7" w:name="dc_1"/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Chương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bookmarkEnd w:id="7"/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dieu_6"/>
      <w:proofErr w:type="spellStart"/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6.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vệ</w:t>
      </w:r>
      <w:bookmarkEnd w:id="8"/>
      <w:proofErr w:type="spellEnd"/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9" w:name="dc_2"/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57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bookmarkEnd w:id="9"/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2.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luân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Chương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V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59/2019/NĐ-CP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7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2019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chống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nhũng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c) Theo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kỷ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45C0" w:rsidRPr="002A45C0" w:rsidRDefault="002A45C0" w:rsidP="002A45C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dieu_7"/>
      <w:proofErr w:type="spellStart"/>
      <w:proofErr w:type="gram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7.</w:t>
      </w:r>
      <w:proofErr w:type="gram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Hiệu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lực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bookmarkEnd w:id="10"/>
      <w:proofErr w:type="spellEnd"/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9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2020.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ngang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Trung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ương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45C0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2A45C0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186"/>
      </w:tblGrid>
      <w:tr w:rsidR="002A45C0" w:rsidRPr="002A45C0" w:rsidTr="002A45C0">
        <w:trPr>
          <w:tblCellSpacing w:w="0" w:type="dxa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C0" w:rsidRPr="002A45C0" w:rsidRDefault="002A45C0" w:rsidP="002A45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  <w:p w:rsidR="002A45C0" w:rsidRPr="002A45C0" w:rsidRDefault="002A45C0" w:rsidP="002A45C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Ban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Bí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thư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Đảng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tướng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Phó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tướng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ngang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thuộc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Đảng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của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Đảng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Quốc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tịch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kiểm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sát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dân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tối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cao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Tòa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án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dân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tối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cao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Kiểm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toán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Ủy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ban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Mặt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trận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quốc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Việt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Nam;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quan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ương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của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chức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trị-xã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HĐND, UBND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tỉnh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thành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phố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trực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thuộc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TW;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Công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báo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Website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Chính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phủ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sở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dữ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liệu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quốc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về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quy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phạm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pháp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luật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Website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Nội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vụ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Nội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vụ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trưởng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Thứ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trưởng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các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đơn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vị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thuộc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trực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thuộc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Cục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Kiểm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văn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bản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QPPL (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Tư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pháp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);</w:t>
            </w:r>
            <w:r w:rsidRPr="002A45C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Lưu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VT, CCVC.</w:t>
            </w:r>
          </w:p>
        </w:tc>
        <w:tc>
          <w:tcPr>
            <w:tcW w:w="4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C0" w:rsidRPr="002A45C0" w:rsidRDefault="002A45C0" w:rsidP="002A45C0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 TRƯỞNG</w:t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Vĩnh</w:t>
            </w:r>
            <w:proofErr w:type="spellEnd"/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Tân</w:t>
            </w:r>
            <w:proofErr w:type="spellEnd"/>
          </w:p>
        </w:tc>
      </w:tr>
    </w:tbl>
    <w:p w:rsidR="002A45C0" w:rsidRPr="002A45C0" w:rsidRDefault="002A45C0" w:rsidP="002A45C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A45C0" w:rsidRPr="002A45C0" w:rsidRDefault="002A45C0" w:rsidP="002A45C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45C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2A45C0" w:rsidRPr="002A45C0" w:rsidRDefault="002A45C0" w:rsidP="002A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A45C0" w:rsidRPr="002A45C0" w:rsidRDefault="002A45C0" w:rsidP="002A45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11" w:name="_GoBack"/>
      <w:bookmarkEnd w:id="11"/>
    </w:p>
    <w:sectPr w:rsidR="002A45C0" w:rsidRPr="002A4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141"/>
    <w:multiLevelType w:val="multilevel"/>
    <w:tmpl w:val="BD0E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02861"/>
    <w:multiLevelType w:val="multilevel"/>
    <w:tmpl w:val="9256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D6739"/>
    <w:multiLevelType w:val="multilevel"/>
    <w:tmpl w:val="97B6A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DD"/>
    <w:rsid w:val="002A45C0"/>
    <w:rsid w:val="003841DD"/>
    <w:rsid w:val="004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4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41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0716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9256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1558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7780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2021-04-05T10:39:00Z</dcterms:created>
  <dcterms:modified xsi:type="dcterms:W3CDTF">2021-04-05T10:39:00Z</dcterms:modified>
</cp:coreProperties>
</file>